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渔业增值放流</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伊犁哈萨克自治州塔城地区农业农村局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伊犁哈萨克自治州塔城地区农业农村局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蒋焕伟</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2023年02月21日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以习近平新时代中国特色社会主义思想为指导，全面贯彻党的十九大和十九届四中、五中、六中全会精神，贯彻落实第三次中央新疆工作座谈会和自治区党委十届二次全会精神，全面落实生态优先的发展理念，不断提升水生生物资源养护管理水平，改善水域生态环境，维护水生生物多样性，实现渔业可持续发展，促进人与自然和谐相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2、主要内容及实施情况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⑴项目实施资金。2022年自治区下达塔城地区中央农业资源及生态保护补助（渔业增殖放流项目）资金30万元，资金用于渔业增殖放流苗种采购。</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⑵实施时间：2022年9月20日-2022年10月20日。</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⑶放流品种、规格、数量。放流经济物种鲢鱼、鳙鱼、草鱼鱼苗30万尾，规格≥10CM，其中：鲢、鳙鱼投放占比为90%，计27万尾，鲢、鳙鱼比例3:1；草鱼投放占比为10%，计3万尾。</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⑷实施范围及投放数量。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乌苏市头台乡东梁水库水域面积2500亩，水深10-14米，投放鱼苗10万尾。</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额敏县阿克苏水库水域面积2000亩，水深10-14米，投放鱼苗10万尾。</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沙湾县海子湾水库水域面积2250亩，水深3--7米，投放鱼苗5万尾。</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和布克赛尔县巴音傲瓦水库水塔面积480亩，水深4-6米，投放鱼苗5万尾。</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资金投入情况：该项目年初预算数30万元，全年预算数30万元，实际总投入30万元，该项目资金已全部落实到位,资金来源为财政拨款资金。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资金使用情况：该项目年初预算数30万元，全年预算数30万元，全年执行数30万元，预算执行率为100%，用于采购水产苗种30万元。</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总体目标：全面贯彻落实《中国水生生物养护行动纲要》，严格按照《水生生物增殖放流管理规定》的要求，认真组织实施，强化管理项目目标，将增殖放流活动作为保护水生物资源，恢复天然水域渔业种群，维护生态平衡工作的重要措施来抓，用好中央财政资金，完成增殖放流计划，进一步加大对水生生物资源的养护和修复力度，促进渔业增效、渔民增收和生态文明建设。</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 2022年3月，自治区农业农村厅下发《关于印发2022年中央耕地地力保护补贴等3个项目实施方案的通知》（新农计〔2022〕39号），下达塔城地区渔业增殖放流项目资金30万元，用于塔城地区辖区中小型水库实施增殖放流苗种购置。</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本项工作旨在落实《中共中央 国务院关于全面实施预算绩效管理的意见》（中发〔2018〕34号）文件精神，全面推进预算绩效管理工作，落实预算执行及绩效管理主体责任。具体而言包括以下两点：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2、绩效评价对象：塔城地区渔业增殖放流项目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从项目决策（包括绩效目标、决策过程）、项目管理（包括项目资金、项目实施）、项目产出（包括项目产出数量、产出质量、产出时效和产出成本）项目效益四个维度进行塔城地区渔业增殖放流项目评价，评价核心为资金的支出完成情况和效果。</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（1）科学规范原则：绩效评价应当严格执行规定的程序，按照科学可行的要求，采用定量与定性分析相结合的方法。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（2）公正公开原则：绩效评价应当符合真实、客观、公正的要求，依法公开并接受监督。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（3）分级分类原则：根据评价对象特点分类组织实施。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（4）绩效相关原则：绩效评价应当针对具体支出及其产出绩效进行，评价结果应当清晰反映支出和产出绩效之间的紧密对应关系。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指标体系是根据《项目支出绩效评价管理办法》（财预〔2020〕10号）对于指标体系的要求和规范，结合项目特有属性和实际情况，考虑实用性、可操作性和可实现性，从决策、过程、产出、效益四个维度进行指标细化和分值设定。塔城地区渔业增殖放流项目项目支出绩效评价指标体系(详见附件3)：</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按照《项目支出绩效评价管理办法》（财预〔2020〕10号）规定的具体评价方法和流程，评价小组运用定量和定性分析相结合的方法，综合运用比较法、因素分析法、成本效益法、公众评判等方法进行项目实施的绩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绩效评价标准主要包括计划标准、行业标准、历史标准等，用于对绩效指标完成情况进行比较。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（1）计划标准。指以预先制定的目标、计划、预算、定额等作为评价标准。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（2）行业标准。指参照国家公布的行业指标数据制定的评价标准。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（3）历史标准。指参照历史数据制定的评价标准，为体现绩效改进的原则，在可实现的条件下应当确定相对较高的评价标准。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在上述评价标准的基础上，本次评价依据以下文件为重要指导和准绳：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·《中共中央国务院关于全面实施预算绩效管理的意见》（中发〔2018〕34号）；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·《项目支出绩效评价管理办法》（财预〔2020〕10号）；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·《自治区党委自治区人民政府关于全面实施预算绩效管理的实施意见》（新党发〔2018〕30号）；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·《2023年度推进塔城地区全面实施预算绩效管理工作规划》。</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结合项目特点，制定符合项目实际的绩效评价指标体系及评分标准，通过数据采集、问卷调查及访谈等形式，对2022年塔城地区渔业增殖放流项目进行客观评价。</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2.立项程序规范性:项目按照规定的程序申请设立,审批文件、材料符合相关要求,事前已经过必要的可行性研究、专家论证、风险评估、绩效评估、集体决策，得4分。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3.绩效目标合理性:项目有绩效目标,项目绩效目标与实际工作内容具有相关性,项目预期产出效益和效果符合正常的业绩水平,与预算确定的项目投资额或资金量相匹配，得2分。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4.绩效指标明确性:将项目绩效目标细化分解为具体的绩效指标,通过清晰、可衡量的指标值予以体现,与项目目标任务数或计划数相对应，得3分。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5.预算编制科学性:预算编制经过科学论证,预算内容与项目内容匹配,预算额度测算依据充分，按照标准编制,预算确定的项目投资额或资金量与工作任务相匹配，得3分。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6.资金分配合理性:预算资金分配依据充分,资金分配额度合理，与项目单位或地方实际相适应，得4分。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该指标分值20分，依据评分标准，此项指标不扣分，得20分。</w:t>
      </w:r>
      <w:r>
        <w:rPr>
          <w:rStyle w:val="18"/>
          <w:rFonts w:hint="eastAsia" w:ascii="楷体" w:hAnsi="楷体" w:eastAsia="楷体"/>
          <w:b w:val="0"/>
          <w:bCs w:val="0"/>
          <w:spacing w:val="-4"/>
          <w:sz w:val="32"/>
          <w:szCs w:val="32"/>
          <w:lang w:eastAsia="zh-CN"/>
        </w:rPr>
        <w:tab/>
      </w:r>
    </w:p>
    <w:p>
      <w:pPr>
        <w:spacing w:line="540" w:lineRule="exact"/>
        <w:ind w:firstLine="567" w:firstLineChars="181"/>
        <w:rPr>
          <w:rStyle w:val="18"/>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8"/>
          <w:rFonts w:hint="eastAsia" w:ascii="楷体" w:hAnsi="楷体" w:eastAsia="楷体"/>
          <w:spacing w:val="-4"/>
          <w:sz w:val="32"/>
          <w:szCs w:val="32"/>
        </w:rPr>
        <w:t>项目过程情况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1.资金到位率：实际到位资金30万元，预算资金30万元，资金到位率100%，得3 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2.预算执行率：年初预算数30万元，全年预算数30万元，全年执行数30万元，预算执行率为100%，得10分。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4.管理制度健全性：项目支出手续完备，财会核算准确规范，项目调整手续完备，项目实施的人员条件、场地设备、信息支撑等落实到位，合同书、验收报告等资料齐全，得2分。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根据现场调研和资料抽查情况，已制严格遵守相关法律法规和相关管理规定，项目调整及支出调整手续完备，整体管理合理有序，项目完成后，及时将会计凭证、固定资产入库单等相关资料分类归档，制度执行有效，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该指标分值20分，依据评分标准，此项指标不扣分，得20分。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1.产出数量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数量指标：指标1：购买鱼苗数量（万尾），指标值：30万尾，实际完成值30万尾，指标完成率100%，得10分。偏差原因：无。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质量指标：指标1：投放鱼种，指标值：3种，实际完成值3种，指标完成率100 %，得10分。偏差原因：无；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时效指标：指标1：鱼苗投放时间，指标值：2022年10月30日前，实际完成值2022年10月2日，指标完成率100 %，得10分。偏差原因：无；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成本指标：指标1：购买鱼苗资金，指标值： ≦30万元，实际完成值30万元，指标完成率100%，得10分。偏差原因：无；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该指标分值40分，依据评分标准，此项指标不扣分，得40分。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8"/>
          <w:rFonts w:hint="eastAsia" w:ascii="楷体" w:hAnsi="楷体" w:eastAsia="楷体"/>
          <w:spacing w:val="-4"/>
          <w:sz w:val="32"/>
          <w:szCs w:val="32"/>
        </w:rPr>
        <w:t>项目效益情况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1.项目效益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经济效益指标：评价指标“渔民增收”，指标值：≧5%，实际完成值≧5%：达成年度指标。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开展增殖放流跟踪监测和效果评估情况。2022年我区实施增殖放流经济鱼种60万尾，其中30万尾为养殖户自筹资金购买，30万尾为项目实施投放苗种。经监测，</w:t>
      </w:r>
      <w:r>
        <w:rPr>
          <w:rStyle w:val="18"/>
          <w:rFonts w:hint="eastAsia" w:ascii="楷体" w:hAnsi="楷体" w:eastAsia="楷体"/>
          <w:b w:val="0"/>
          <w:bCs w:val="0"/>
          <w:spacing w:val="-4"/>
          <w:sz w:val="32"/>
          <w:szCs w:val="32"/>
          <w:lang w:eastAsia="zh-CN"/>
        </w:rPr>
        <w:t>截至目前</w:t>
      </w:r>
      <w:r>
        <w:rPr>
          <w:rStyle w:val="18"/>
          <w:rFonts w:hint="eastAsia" w:ascii="楷体" w:hAnsi="楷体" w:eastAsia="楷体"/>
          <w:b w:val="0"/>
          <w:bCs w:val="0"/>
          <w:spacing w:val="-4"/>
          <w:sz w:val="32"/>
          <w:szCs w:val="32"/>
        </w:rPr>
        <w:t>苗种成活率≧95%。通过监测2021年增殖放流投放经济苗种60万尾，30吨，支出项目资金30万元，通过项目实施，年产四大家渔110.5吨，渔业增收132万元。投入产出比≧1:4，增殖放流回捕产量对照未开展增殖放流时期或区域增长达到了300%，通过开展增殖放流活动，取得了良好的经济和社会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社会效益指标：评价指标“养护渔业资源意识”，指标值：明显提升，实际完成值明显提升：达成年度指标。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渔业增值放流项目的实施，提高了水产品质量安全，确保群众安全消费，保护了生态环境。水产品质量安全产品检测合格率达98%、水产品生产源头水域环境检测合格率达98%、确保养殖水质达标率≥95%、社会满意度100%，完成了预定的绩效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生态效益指标：评价指标“恢复天然水域渔业种群”，指标值：≧4%，实际完成值：≧4%，达成年度指标。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渔业增殖放流项目的实施，不仅能增加渔养单位的经济收益，最主要的是将持续改善辖区生态水环境，“以鱼净水、以鱼养水、以鱼调水”的方式，进一步水库水生生物种群结构，恢复天然渔业种群，改善水域生态环境，进一步提升公众生态文明意识,带动更多的人关心、参与生态环保事业，营造坚决打赢打好污染防治攻坚战的浓厚氛围，为乡村振兴建设添砖加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可持续影响指标：评价指标“全社会保护生态环境意识明显增强”，指标值：明显增强，实际完成值：明显增强，达成年度指标。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服务对象满意度指标：评价指标“渔民捕捞满意度”，指标值：≥100%，实际完成值：≥100%。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8"/>
          <w:rFonts w:hint="eastAsia"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本项目预算执行率为100%，指标总体完成率为100%，二者之间的偏差值为0%。因此，本项目较好地完成了年度总体目标，财政资金使用效益和效率较高。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加强组织领导。为确保项目顺利实施，成立塔城地区渔业增殖放流项目工作领导小组。由局长刘永虎为组长，副局长蒋焕伟为副组长，政策法规科科长及农业综合执法支队渔政大队负责人为成员的工作领导小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领导小组下设办公室，办公室设在地区农业农村局政策法规科，杨丽红负责项目日常工作。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县（市）农业农村局参照成立增殖放流工作领导小组，项目责任落实到人。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规范管理。按照《水生生物增殖放流管理规定》的要求，塔城地区农业农村局出台了《塔城地区农业农村局项目资金管理办法》。具体做法，一是领导重视、组织得力。塔城地区农业农村局高度重视项目管理工作，为全面完成好增殖放流工作，将此项工作放在重要位置，切实加强对本次放流工作的领导，成立以局长为组长，各放流县市农业农村局局长为成员的增殖放流工作领导小组，小组下设办公室，全面负责增殖放流项目的组织实施。各部门密切配合，齐抓共管，保证放流工作的顺利开展，使专项资金按规定的用途使用并达到预期目的，严禁截留、挪用和不合理支出。二是制定工作方案，明确责任。2022年自治区分配塔城地区渔业增殖放流项目补助资金30万元，根据方案要求及时制定《2022年塔城地区渔业增殖放流项目实施方案》并上报自治区农业农村厅渔业监督处，地区农业农村局政策法规科、农业执法支队渔政科和县（市）农业农村局等相关人员各司其职，分工明确，保障了塔城地区2022年渔业增殖放流工作的顺利开展。三是严格规范工作程序，加强增殖放流全程的监督检查。我局严格按照《水生生物增殖放流管理规定》和《政府采购法》相关要求，本着公开、公正、公平的在原则，对苗种来源进行严格把控，采取询价、实地考察等方式确定福海县强盛水产科技有限责任公司为本次增殖放流的苗种供应单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3.高质量完成项目实施。塔城地区农业农村局具体负责项目实施。放流过程由地、县（市）两级渔业工作人员及苗种投放经营主体代表、公证机关等相关人员参加，公证人员对放流全过程进行公证监督。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塔城地区地、县两级农业农村局在监督经营主体在完成当年自筹放流任务后，于2022年10月2日从福海县强盛水产科技有限责任公司水产苗种场实施完成塔城地区4个中小型水库30万尾鱼苗的投放任务，其中：额敏县阿克苏水库放流10万尾，乌苏市头台乡东梁水库放流10 万尾，沙湾县海子湾水库放流 5 万尾，和布克赛尔县巴音傲瓦水库放流5万尾。</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1.项目支出政策和路径设计科学，符合实际需要；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2.项目安排准确，未发现背离项目立项初衷的情况；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3.项目的申报、审核机制完善；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4.未发现虚假行为和骗取财政资金的问题。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Arial Unicode MS"/>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VjMGM4YTNmZTY1NDFjMWFjNmVmZmU0NDA2ZTk0ZmMifQ=="/>
  </w:docVars>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1FBE2A66"/>
    <w:rsid w:val="29D57123"/>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273</Words>
  <Characters>597</Characters>
  <Lines>5</Lines>
  <Paragraphs>1</Paragraphs>
  <TotalTime>1</TotalTime>
  <ScaleCrop>false</ScaleCrop>
  <LinksUpToDate>false</LinksUpToDate>
  <CharactersWithSpaces>611</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周而</cp:lastModifiedBy>
  <cp:lastPrinted>2018-12-31T10:56:00Z</cp:lastPrinted>
  <dcterms:modified xsi:type="dcterms:W3CDTF">2024-11-18T09:47:23Z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C734C92AAAF24344A0E4232D8EB3359B</vt:lpwstr>
  </property>
</Properties>
</file>